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Lava Sword</w:t>
      </w:r>
    </w:p>
    <w:p w:rsidR="00000000" w:rsidDel="00000000" w:rsidP="00000000" w:rsidRDefault="00000000" w:rsidRPr="00000000">
      <w:pPr>
        <w:pBdr/>
        <w:contextualSpacing w:val="0"/>
        <w:rPr/>
      </w:pPr>
      <w:r w:rsidDel="00000000" w:rsidR="00000000" w:rsidRPr="00000000">
        <w:rPr>
          <w:rtl w:val="0"/>
        </w:rPr>
        <w:t xml:space="preserve">Are you ready to take on skeletons, ghosts and goblins? Are you looking for high-rated action games that offer hours upon hours of exhilaration and challenges? Then why not play Lava Sword online today? Eating meat will help you continue for longer and give you a big chance of setting the high score. More and more players from across the world are loving and recommending this side-scrolling game, so why not join a global network of satisfied gamers and see how you get on in Lava Sword? Don’t wait any longer – get started with Lava Sword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